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E3" w:rsidRDefault="009B76F8" w:rsidP="00CF3BB0">
      <w:pPr>
        <w:jc w:val="center"/>
        <w:rPr>
          <w:b/>
          <w:bCs/>
        </w:rPr>
      </w:pPr>
      <w:r>
        <w:rPr>
          <w:b/>
          <w:bCs/>
          <w:noProof/>
          <w:lang w:val="fr-CH" w:eastAsia="fr-CH" w:bidi="ar-SA"/>
        </w:rPr>
        <w:drawing>
          <wp:inline distT="0" distB="0" distL="0" distR="0">
            <wp:extent cx="3064510" cy="1403985"/>
            <wp:effectExtent l="0" t="0" r="0" b="0"/>
            <wp:docPr id="1" name="Image 1" descr="T_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4510" cy="1403985"/>
                    </a:xfrm>
                    <a:prstGeom prst="rect">
                      <a:avLst/>
                    </a:prstGeom>
                    <a:noFill/>
                    <a:ln>
                      <a:noFill/>
                    </a:ln>
                  </pic:spPr>
                </pic:pic>
              </a:graphicData>
            </a:graphic>
          </wp:inline>
        </w:drawing>
      </w:r>
    </w:p>
    <w:p w:rsidR="00CF3BB0" w:rsidRDefault="00CF3BB0" w:rsidP="00CF3BB0">
      <w:pPr>
        <w:jc w:val="center"/>
        <w:rPr>
          <w:rFonts w:ascii="Century Gothic" w:hAnsi="Century Gothic"/>
          <w:b/>
          <w:bCs/>
          <w:sz w:val="32"/>
          <w:szCs w:val="32"/>
        </w:rPr>
      </w:pPr>
    </w:p>
    <w:p w:rsidR="00E772E3" w:rsidRPr="00CF3BB0" w:rsidRDefault="00E772E3" w:rsidP="00CF3BB0">
      <w:pPr>
        <w:jc w:val="center"/>
        <w:rPr>
          <w:rFonts w:ascii="Century Gothic" w:hAnsi="Century Gothic"/>
          <w:b/>
          <w:bCs/>
          <w:sz w:val="32"/>
          <w:szCs w:val="32"/>
        </w:rPr>
      </w:pPr>
      <w:r w:rsidRPr="00CF3BB0">
        <w:rPr>
          <w:rFonts w:ascii="Century Gothic" w:hAnsi="Century Gothic"/>
          <w:b/>
          <w:bCs/>
          <w:sz w:val="32"/>
          <w:szCs w:val="32"/>
        </w:rPr>
        <w:t xml:space="preserve">Tissot </w:t>
      </w:r>
      <w:proofErr w:type="spellStart"/>
      <w:r w:rsidRPr="00CF3BB0">
        <w:rPr>
          <w:rFonts w:ascii="Century Gothic" w:hAnsi="Century Gothic"/>
          <w:b/>
          <w:bCs/>
          <w:sz w:val="32"/>
          <w:szCs w:val="32"/>
        </w:rPr>
        <w:t>SuperSport</w:t>
      </w:r>
      <w:proofErr w:type="spellEnd"/>
      <w:r w:rsidR="005E6B56">
        <w:rPr>
          <w:rFonts w:ascii="Century Gothic" w:hAnsi="Century Gothic"/>
          <w:b/>
          <w:bCs/>
          <w:sz w:val="32"/>
          <w:szCs w:val="32"/>
        </w:rPr>
        <w:t xml:space="preserve"> Chrono</w:t>
      </w:r>
    </w:p>
    <w:p w:rsidR="00E772E3" w:rsidRPr="00CF3BB0" w:rsidRDefault="00E772E3" w:rsidP="00CF3BB0">
      <w:pPr>
        <w:jc w:val="center"/>
        <w:rPr>
          <w:rFonts w:ascii="Century Gothic" w:hAnsi="Century Gothic"/>
          <w:sz w:val="32"/>
          <w:szCs w:val="32"/>
        </w:rPr>
      </w:pPr>
      <w:r w:rsidRPr="00CF3BB0">
        <w:rPr>
          <w:rFonts w:ascii="Century Gothic" w:hAnsi="Century Gothic"/>
          <w:b/>
          <w:bCs/>
          <w:sz w:val="32"/>
          <w:szCs w:val="32"/>
        </w:rPr>
        <w:t>Engagé dans la mêlée</w:t>
      </w:r>
    </w:p>
    <w:p w:rsidR="00E772E3" w:rsidRPr="00CF3BB0" w:rsidRDefault="00E772E3">
      <w:pPr>
        <w:rPr>
          <w:rFonts w:ascii="Century Gothic" w:hAnsi="Century Gothic"/>
        </w:rPr>
      </w:pPr>
    </w:p>
    <w:p w:rsidR="00E772E3" w:rsidRPr="00CF3BB0" w:rsidRDefault="00E772E3" w:rsidP="00CF3BB0">
      <w:pPr>
        <w:jc w:val="both"/>
        <w:rPr>
          <w:rFonts w:ascii="Century Gothic" w:hAnsi="Century Gothic"/>
        </w:rPr>
      </w:pPr>
      <w:r w:rsidRPr="00CF3BB0">
        <w:rPr>
          <w:rFonts w:ascii="Century Gothic" w:hAnsi="Century Gothic"/>
        </w:rPr>
        <w:t>Tissot, innovateur</w:t>
      </w:r>
      <w:r w:rsidR="00BC1FEC">
        <w:rPr>
          <w:rFonts w:ascii="Century Gothic" w:hAnsi="Century Gothic"/>
        </w:rPr>
        <w:t>s</w:t>
      </w:r>
      <w:r w:rsidRPr="00CF3BB0">
        <w:rPr>
          <w:rFonts w:ascii="Century Gothic" w:hAnsi="Century Gothic"/>
        </w:rPr>
        <w:t xml:space="preserve"> par tradition, s'engage à nouveau dans l'un de ses univers de prédilection. La nouvelle ligne de chronographes </w:t>
      </w:r>
      <w:proofErr w:type="spellStart"/>
      <w:r w:rsidRPr="00CF3BB0">
        <w:rPr>
          <w:rFonts w:ascii="Century Gothic" w:hAnsi="Century Gothic"/>
        </w:rPr>
        <w:t>SuperSport</w:t>
      </w:r>
      <w:proofErr w:type="spellEnd"/>
      <w:r w:rsidRPr="00CF3BB0">
        <w:rPr>
          <w:rFonts w:ascii="Century Gothic" w:hAnsi="Century Gothic"/>
        </w:rPr>
        <w:t xml:space="preserve"> </w:t>
      </w:r>
      <w:r w:rsidR="005E6B56">
        <w:rPr>
          <w:rFonts w:ascii="Century Gothic" w:hAnsi="Century Gothic"/>
        </w:rPr>
        <w:t xml:space="preserve">Chrono </w:t>
      </w:r>
      <w:r w:rsidRPr="00CF3BB0">
        <w:rPr>
          <w:rFonts w:ascii="Century Gothic" w:hAnsi="Century Gothic"/>
        </w:rPr>
        <w:t>est intimement associée aux valeurs du rugby. En effet, plus qu'un simple sport, il s'agit d'un art de vivre, d'une manière de regarder le monde droit dans les yeux. Le respect de l'autre, l'engagement physique, le courage et le fairplay en font un cadre éthique auquel Tissot adhère pleinement. A ces traits de caractère moral s'ajoutent des éléments de style. Car le rugby a ses codes, qui consistent à jouer de son physique sans tout miser dessus. Sport joué par des gentlemen, il va de pair avec le polo, la veste dépareillée, un exercice de cool</w:t>
      </w:r>
      <w:r w:rsidR="00124A5F">
        <w:rPr>
          <w:rFonts w:ascii="Century Gothic" w:hAnsi="Century Gothic"/>
        </w:rPr>
        <w:t xml:space="preserve"> chic</w:t>
      </w:r>
      <w:r w:rsidRPr="00CF3BB0">
        <w:rPr>
          <w:rFonts w:ascii="Century Gothic" w:hAnsi="Century Gothic"/>
        </w:rPr>
        <w:t>. Les</w:t>
      </w:r>
      <w:r w:rsidR="005E6B56">
        <w:rPr>
          <w:rFonts w:ascii="Century Gothic" w:hAnsi="Century Gothic"/>
        </w:rPr>
        <w:t xml:space="preserve"> Tissot</w:t>
      </w:r>
      <w:r w:rsidR="005E6B56" w:rsidRPr="005E6B56">
        <w:rPr>
          <w:rFonts w:ascii="Century Gothic" w:hAnsi="Century Gothic"/>
        </w:rPr>
        <w:t xml:space="preserve"> </w:t>
      </w:r>
      <w:proofErr w:type="spellStart"/>
      <w:r w:rsidR="005E6B56" w:rsidRPr="00CF3BB0">
        <w:rPr>
          <w:rFonts w:ascii="Century Gothic" w:hAnsi="Century Gothic"/>
        </w:rPr>
        <w:t>SuperSport</w:t>
      </w:r>
      <w:proofErr w:type="spellEnd"/>
      <w:r w:rsidR="005E6B56" w:rsidRPr="00CF3BB0">
        <w:rPr>
          <w:rFonts w:ascii="Century Gothic" w:hAnsi="Century Gothic"/>
        </w:rPr>
        <w:t xml:space="preserve"> </w:t>
      </w:r>
      <w:r w:rsidR="005E6B56">
        <w:rPr>
          <w:rFonts w:ascii="Century Gothic" w:hAnsi="Century Gothic"/>
        </w:rPr>
        <w:t>Chrono</w:t>
      </w:r>
      <w:r w:rsidRPr="00CF3BB0">
        <w:rPr>
          <w:rFonts w:ascii="Century Gothic" w:hAnsi="Century Gothic"/>
        </w:rPr>
        <w:t xml:space="preserve"> ont été créées dans cette même veine. </w:t>
      </w: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r w:rsidRPr="00CF3BB0">
        <w:rPr>
          <w:rFonts w:ascii="Century Gothic" w:hAnsi="Century Gothic"/>
        </w:rPr>
        <w:t xml:space="preserve">Les </w:t>
      </w:r>
      <w:r w:rsidR="005E6B56">
        <w:rPr>
          <w:rFonts w:ascii="Century Gothic" w:hAnsi="Century Gothic"/>
        </w:rPr>
        <w:t>Tissot</w:t>
      </w:r>
      <w:r w:rsidR="005E6B56" w:rsidRPr="005E6B56">
        <w:rPr>
          <w:rFonts w:ascii="Century Gothic" w:hAnsi="Century Gothic"/>
        </w:rPr>
        <w:t xml:space="preserve"> </w:t>
      </w:r>
      <w:proofErr w:type="spellStart"/>
      <w:r w:rsidR="005E6B56" w:rsidRPr="00CF3BB0">
        <w:rPr>
          <w:rFonts w:ascii="Century Gothic" w:hAnsi="Century Gothic"/>
        </w:rPr>
        <w:t>SuperSport</w:t>
      </w:r>
      <w:proofErr w:type="spellEnd"/>
      <w:r w:rsidR="005E6B56" w:rsidRPr="00CF3BB0">
        <w:rPr>
          <w:rFonts w:ascii="Century Gothic" w:hAnsi="Century Gothic"/>
        </w:rPr>
        <w:t xml:space="preserve"> </w:t>
      </w:r>
      <w:r w:rsidR="005E6B56">
        <w:rPr>
          <w:rFonts w:ascii="Century Gothic" w:hAnsi="Century Gothic"/>
        </w:rPr>
        <w:t>Chrono</w:t>
      </w:r>
      <w:r w:rsidR="005E6B56" w:rsidRPr="00CF3BB0">
        <w:rPr>
          <w:rFonts w:ascii="Century Gothic" w:hAnsi="Century Gothic"/>
        </w:rPr>
        <w:t xml:space="preserve"> </w:t>
      </w:r>
      <w:r w:rsidRPr="00CF3BB0">
        <w:rPr>
          <w:rFonts w:ascii="Century Gothic" w:hAnsi="Century Gothic"/>
        </w:rPr>
        <w:t xml:space="preserve">arrivent sur le terrain </w:t>
      </w:r>
      <w:r w:rsidR="008D13CA">
        <w:rPr>
          <w:rFonts w:ascii="Century Gothic" w:hAnsi="Century Gothic"/>
        </w:rPr>
        <w:t>en formation d’équipe</w:t>
      </w:r>
      <w:r w:rsidRPr="00CF3BB0">
        <w:rPr>
          <w:rFonts w:ascii="Century Gothic" w:hAnsi="Century Gothic"/>
        </w:rPr>
        <w:t xml:space="preserve"> composée de huit références. Leur corps imposant de 45,5 mm est taillé da</w:t>
      </w:r>
      <w:r w:rsidR="008D13CA">
        <w:rPr>
          <w:rFonts w:ascii="Century Gothic" w:hAnsi="Century Gothic"/>
        </w:rPr>
        <w:t>ns l'acier, avec plusieurs</w:t>
      </w:r>
      <w:r w:rsidR="00C81EEB">
        <w:rPr>
          <w:rFonts w:ascii="Century Gothic" w:hAnsi="Century Gothic"/>
        </w:rPr>
        <w:t xml:space="preserve"> choix de</w:t>
      </w:r>
      <w:r w:rsidRPr="00CF3BB0">
        <w:rPr>
          <w:rFonts w:ascii="Century Gothic" w:hAnsi="Century Gothic"/>
        </w:rPr>
        <w:t xml:space="preserve"> couleur, noir ou or rose, par le biais de la technologie PVD. </w:t>
      </w:r>
      <w:r w:rsidR="00C81EEB">
        <w:rPr>
          <w:rFonts w:ascii="Century Gothic" w:hAnsi="Century Gothic"/>
        </w:rPr>
        <w:t>De plus</w:t>
      </w:r>
      <w:r w:rsidRPr="00CF3BB0">
        <w:rPr>
          <w:rFonts w:ascii="Century Gothic" w:hAnsi="Century Gothic"/>
        </w:rPr>
        <w:t xml:space="preserve"> ce pack est habillé d'une ligne complète de bracelets allant de l'acier au cuir </w:t>
      </w:r>
      <w:proofErr w:type="gramStart"/>
      <w:r w:rsidRPr="00CF3BB0">
        <w:rPr>
          <w:rFonts w:ascii="Century Gothic" w:hAnsi="Century Gothic"/>
        </w:rPr>
        <w:t>à</w:t>
      </w:r>
      <w:proofErr w:type="gramEnd"/>
      <w:r w:rsidRPr="00CF3BB0">
        <w:rPr>
          <w:rFonts w:ascii="Century Gothic" w:hAnsi="Century Gothic"/>
        </w:rPr>
        <w:t xml:space="preserve"> surpiqûre apparente. La boîte est munie de </w:t>
      </w:r>
      <w:r w:rsidR="00C81EEB">
        <w:rPr>
          <w:rFonts w:ascii="Century Gothic" w:hAnsi="Century Gothic"/>
        </w:rPr>
        <w:t>détails fort</w:t>
      </w:r>
      <w:r w:rsidRPr="00CF3BB0">
        <w:rPr>
          <w:rFonts w:ascii="Century Gothic" w:hAnsi="Century Gothic"/>
        </w:rPr>
        <w:t xml:space="preserve">s en caractère. Sa couronne de grand diamètre, facilitant la préhension, est protégée par un épaulement. Ces excroissances musculeuses affirment la personnalité des </w:t>
      </w:r>
      <w:r w:rsidR="000B3AC9">
        <w:rPr>
          <w:rFonts w:ascii="Century Gothic" w:hAnsi="Century Gothic"/>
        </w:rPr>
        <w:t xml:space="preserve">Tissot </w:t>
      </w:r>
      <w:proofErr w:type="spellStart"/>
      <w:r w:rsidRPr="00CF3BB0">
        <w:rPr>
          <w:rFonts w:ascii="Century Gothic" w:hAnsi="Century Gothic"/>
        </w:rPr>
        <w:t>SuperSport</w:t>
      </w:r>
      <w:proofErr w:type="spellEnd"/>
      <w:r w:rsidR="000B3AC9">
        <w:rPr>
          <w:rFonts w:ascii="Century Gothic" w:hAnsi="Century Gothic"/>
        </w:rPr>
        <w:t xml:space="preserve"> Chrono</w:t>
      </w:r>
      <w:r w:rsidRPr="00CF3BB0">
        <w:rPr>
          <w:rFonts w:ascii="Century Gothic" w:hAnsi="Century Gothic"/>
        </w:rPr>
        <w:t xml:space="preserve">. Avec son physique de Troisième Ligne, la collection </w:t>
      </w:r>
      <w:r w:rsidR="000B3AC9">
        <w:rPr>
          <w:rFonts w:ascii="Century Gothic" w:hAnsi="Century Gothic"/>
        </w:rPr>
        <w:t>Tissot</w:t>
      </w:r>
      <w:r w:rsidRPr="00CF3BB0">
        <w:rPr>
          <w:rFonts w:ascii="Century Gothic" w:hAnsi="Century Gothic"/>
        </w:rPr>
        <w:t xml:space="preserve"> </w:t>
      </w:r>
      <w:proofErr w:type="spellStart"/>
      <w:r w:rsidRPr="00CF3BB0">
        <w:rPr>
          <w:rFonts w:ascii="Century Gothic" w:hAnsi="Century Gothic"/>
        </w:rPr>
        <w:t>SuperSport</w:t>
      </w:r>
      <w:proofErr w:type="spellEnd"/>
      <w:r w:rsidR="000B3AC9">
        <w:rPr>
          <w:rFonts w:ascii="Century Gothic" w:hAnsi="Century Gothic"/>
        </w:rPr>
        <w:t xml:space="preserve"> Chrono</w:t>
      </w:r>
      <w:r w:rsidRPr="00CF3BB0">
        <w:rPr>
          <w:rFonts w:ascii="Century Gothic" w:hAnsi="Century Gothic"/>
        </w:rPr>
        <w:t xml:space="preserve"> est également un hommage à la polyvalence physique qui règne dans le monde du rugby. Car si elle est puissante dans son apparence, elle est </w:t>
      </w:r>
      <w:r w:rsidR="00BE7D51">
        <w:rPr>
          <w:rFonts w:ascii="Century Gothic" w:hAnsi="Century Gothic"/>
        </w:rPr>
        <w:t>dynamique</w:t>
      </w:r>
      <w:r w:rsidRPr="00CF3BB0">
        <w:rPr>
          <w:rFonts w:ascii="Century Gothic" w:hAnsi="Century Gothic"/>
        </w:rPr>
        <w:t xml:space="preserve"> et agile dans son fonctionnement.</w:t>
      </w: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r w:rsidRPr="00CF3BB0">
        <w:rPr>
          <w:rFonts w:ascii="Century Gothic" w:hAnsi="Century Gothic"/>
        </w:rPr>
        <w:t xml:space="preserve">La ligne </w:t>
      </w:r>
      <w:r w:rsidR="005E6B56">
        <w:rPr>
          <w:rFonts w:ascii="Century Gothic" w:hAnsi="Century Gothic"/>
        </w:rPr>
        <w:t>Tissot</w:t>
      </w:r>
      <w:r w:rsidR="005E6B56" w:rsidRPr="005E6B56">
        <w:rPr>
          <w:rFonts w:ascii="Century Gothic" w:hAnsi="Century Gothic"/>
        </w:rPr>
        <w:t xml:space="preserve"> </w:t>
      </w:r>
      <w:proofErr w:type="spellStart"/>
      <w:r w:rsidR="005E6B56" w:rsidRPr="00CF3BB0">
        <w:rPr>
          <w:rFonts w:ascii="Century Gothic" w:hAnsi="Century Gothic"/>
        </w:rPr>
        <w:t>SuperSport</w:t>
      </w:r>
      <w:proofErr w:type="spellEnd"/>
      <w:r w:rsidR="005E6B56" w:rsidRPr="00CF3BB0">
        <w:rPr>
          <w:rFonts w:ascii="Century Gothic" w:hAnsi="Century Gothic"/>
        </w:rPr>
        <w:t xml:space="preserve"> </w:t>
      </w:r>
      <w:r w:rsidR="005E6B56">
        <w:rPr>
          <w:rFonts w:ascii="Century Gothic" w:hAnsi="Century Gothic"/>
        </w:rPr>
        <w:t>Chrono</w:t>
      </w:r>
      <w:r w:rsidR="005E6B56" w:rsidRPr="00CF3BB0">
        <w:rPr>
          <w:rFonts w:ascii="Century Gothic" w:hAnsi="Century Gothic"/>
        </w:rPr>
        <w:t xml:space="preserve"> </w:t>
      </w:r>
      <w:r w:rsidRPr="00CF3BB0">
        <w:rPr>
          <w:rFonts w:ascii="Century Gothic" w:hAnsi="Century Gothic"/>
        </w:rPr>
        <w:t xml:space="preserve">est dotée d'une lunette fixe gravée d'une échelle </w:t>
      </w:r>
      <w:proofErr w:type="spellStart"/>
      <w:r w:rsidRPr="00CF3BB0">
        <w:rPr>
          <w:rFonts w:ascii="Century Gothic" w:hAnsi="Century Gothic"/>
        </w:rPr>
        <w:t>tachymétrique</w:t>
      </w:r>
      <w:proofErr w:type="spellEnd"/>
      <w:r w:rsidRPr="00CF3BB0">
        <w:rPr>
          <w:rFonts w:ascii="Century Gothic" w:hAnsi="Century Gothic"/>
        </w:rPr>
        <w:t xml:space="preserve"> graduée jusqu'à 400 km/h. Cette lunette s'accorde aux finitions de la boîte et du cadran. Ainsi, elle peut être aussi </w:t>
      </w:r>
      <w:r w:rsidR="00C81EEB">
        <w:rPr>
          <w:rFonts w:ascii="Century Gothic" w:hAnsi="Century Gothic"/>
        </w:rPr>
        <w:t>de colorie</w:t>
      </w:r>
      <w:r w:rsidRPr="00CF3BB0">
        <w:rPr>
          <w:rFonts w:ascii="Century Gothic" w:hAnsi="Century Gothic"/>
        </w:rPr>
        <w:t xml:space="preserve"> noire et graduations blanches </w:t>
      </w:r>
      <w:r w:rsidR="00C81EEB">
        <w:rPr>
          <w:rFonts w:ascii="Century Gothic" w:hAnsi="Century Gothic"/>
        </w:rPr>
        <w:t xml:space="preserve">mais aussi de </w:t>
      </w:r>
      <w:r w:rsidRPr="00CF3BB0">
        <w:rPr>
          <w:rFonts w:ascii="Century Gothic" w:hAnsi="Century Gothic"/>
        </w:rPr>
        <w:t xml:space="preserve">couleur or jaune avec un insert noir imprimé or jaune, ou encore tout acier. Le choix de ces attributs déterminera également la couleur des deux poussoirs de chronographe et le jeu de couleur du cadran. </w:t>
      </w: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r w:rsidRPr="00CF3BB0">
        <w:rPr>
          <w:rFonts w:ascii="Century Gothic" w:hAnsi="Century Gothic"/>
        </w:rPr>
        <w:t>Avec son guichet de date en applique à 6 heures, ses douze index ultra lisibles et garnis de</w:t>
      </w:r>
      <w:r w:rsidR="00C81EEB">
        <w:rPr>
          <w:rFonts w:ascii="Century Gothic" w:hAnsi="Century Gothic"/>
        </w:rPr>
        <w:t xml:space="preserve"> la technologie</w:t>
      </w:r>
      <w:r w:rsidRPr="00CF3BB0">
        <w:rPr>
          <w:rFonts w:ascii="Century Gothic" w:hAnsi="Century Gothic"/>
        </w:rPr>
        <w:t xml:space="preserve"> </w:t>
      </w:r>
      <w:proofErr w:type="spellStart"/>
      <w:r w:rsidRPr="00CF3BB0">
        <w:rPr>
          <w:rFonts w:ascii="Century Gothic" w:hAnsi="Century Gothic"/>
        </w:rPr>
        <w:t>SuperLuminova</w:t>
      </w:r>
      <w:proofErr w:type="spellEnd"/>
      <w:r w:rsidR="00C81EEB">
        <w:rPr>
          <w:rFonts w:ascii="Century Gothic" w:hAnsi="Century Gothic"/>
        </w:rPr>
        <w:t>®</w:t>
      </w:r>
      <w:r w:rsidRPr="00CF3BB0">
        <w:rPr>
          <w:rFonts w:ascii="Century Gothic" w:hAnsi="Century Gothic"/>
        </w:rPr>
        <w:t xml:space="preserve">, ses vastes aiguilles glaive luminescentes, ce cadran met en valeur la fonction chronographe. En effet, au sein de la collection </w:t>
      </w:r>
      <w:proofErr w:type="spellStart"/>
      <w:r w:rsidRPr="00CF3BB0">
        <w:rPr>
          <w:rFonts w:ascii="Century Gothic" w:hAnsi="Century Gothic"/>
        </w:rPr>
        <w:t>SuperSport</w:t>
      </w:r>
      <w:proofErr w:type="spellEnd"/>
      <w:r w:rsidRPr="00CF3BB0">
        <w:rPr>
          <w:rFonts w:ascii="Century Gothic" w:hAnsi="Century Gothic"/>
        </w:rPr>
        <w:t xml:space="preserve"> bat un calibre à </w:t>
      </w:r>
      <w:r w:rsidR="00BE7D51">
        <w:rPr>
          <w:rFonts w:ascii="Century Gothic" w:hAnsi="Century Gothic"/>
        </w:rPr>
        <w:t>chrono q</w:t>
      </w:r>
      <w:r w:rsidRPr="00CF3BB0">
        <w:rPr>
          <w:rFonts w:ascii="Century Gothic" w:hAnsi="Century Gothic"/>
        </w:rPr>
        <w:t xml:space="preserve">uartz d'origine ETA, manufacture </w:t>
      </w:r>
      <w:proofErr w:type="spellStart"/>
      <w:r w:rsidRPr="00CF3BB0">
        <w:rPr>
          <w:rFonts w:ascii="Century Gothic" w:hAnsi="Century Gothic"/>
        </w:rPr>
        <w:t>Swiss</w:t>
      </w:r>
      <w:proofErr w:type="spellEnd"/>
      <w:r w:rsidRPr="00CF3BB0">
        <w:rPr>
          <w:rFonts w:ascii="Century Gothic" w:hAnsi="Century Gothic"/>
        </w:rPr>
        <w:t xml:space="preserve"> Made réputée pour </w:t>
      </w:r>
      <w:r w:rsidR="00C81EEB" w:rsidRPr="00C81EEB">
        <w:rPr>
          <w:rFonts w:ascii="Century Gothic" w:hAnsi="Century Gothic"/>
        </w:rPr>
        <w:t xml:space="preserve">la qualité et la fiabilité de </w:t>
      </w:r>
      <w:r w:rsidRPr="00CF3BB0">
        <w:rPr>
          <w:rFonts w:ascii="Century Gothic" w:hAnsi="Century Gothic"/>
        </w:rPr>
        <w:t xml:space="preserve">ses moteurs. Ce mouvement indique heures et minutes au centre, la petite seconde à 6 heures et possède deux totalisateurs. A 2 heures, l'un affiche les dixièmes de seconde, complétant ainsi la trotteuse </w:t>
      </w:r>
      <w:r w:rsidRPr="00CF3BB0">
        <w:rPr>
          <w:rFonts w:ascii="Century Gothic" w:hAnsi="Century Gothic"/>
        </w:rPr>
        <w:lastRenderedPageBreak/>
        <w:t xml:space="preserve">centrale. A 10 heures, un compteur 30 minutes s'occupe des temps écoulés plus longs. </w:t>
      </w:r>
    </w:p>
    <w:p w:rsidR="00E772E3" w:rsidRPr="00CF3BB0" w:rsidRDefault="00E772E3" w:rsidP="00CF3BB0">
      <w:pPr>
        <w:jc w:val="both"/>
        <w:rPr>
          <w:rFonts w:ascii="Century Gothic" w:hAnsi="Century Gothic"/>
        </w:rPr>
      </w:pPr>
    </w:p>
    <w:p w:rsidR="00201A99" w:rsidRDefault="00201A99" w:rsidP="00CF3BB0">
      <w:pPr>
        <w:jc w:val="both"/>
        <w:rPr>
          <w:rFonts w:ascii="Century Gothic" w:hAnsi="Century Gothic"/>
        </w:rPr>
      </w:pPr>
      <w:r w:rsidRPr="00201A99">
        <w:rPr>
          <w:rFonts w:ascii="Century Gothic" w:hAnsi="Century Gothic"/>
        </w:rPr>
        <w:t xml:space="preserve">La collection </w:t>
      </w:r>
      <w:proofErr w:type="spellStart"/>
      <w:r w:rsidRPr="00201A99">
        <w:rPr>
          <w:rFonts w:ascii="Century Gothic" w:hAnsi="Century Gothic"/>
        </w:rPr>
        <w:t>SuperSport</w:t>
      </w:r>
      <w:proofErr w:type="spellEnd"/>
      <w:r w:rsidRPr="00201A99">
        <w:rPr>
          <w:rFonts w:ascii="Century Gothic" w:hAnsi="Century Gothic"/>
        </w:rPr>
        <w:t xml:space="preserve"> </w:t>
      </w:r>
      <w:r w:rsidR="002A757B">
        <w:rPr>
          <w:rFonts w:ascii="Century Gothic" w:hAnsi="Century Gothic"/>
        </w:rPr>
        <w:t xml:space="preserve">Chrono </w:t>
      </w:r>
      <w:r w:rsidRPr="00201A99">
        <w:rPr>
          <w:rFonts w:ascii="Century Gothic" w:hAnsi="Century Gothic"/>
        </w:rPr>
        <w:t>symbolise le lien indéfectible que Tissot a noué depuis 1853 avec le sport et en particulier avec le rugby. Partenaire du Top 14, la prestigieuse ligue française de rugby, du championnat européen des 6 Nations, Tissot est également sponsor en titre de l'EPCR (</w:t>
      </w:r>
      <w:proofErr w:type="spellStart"/>
      <w:r w:rsidRPr="00201A99">
        <w:rPr>
          <w:rFonts w:ascii="Century Gothic" w:hAnsi="Century Gothic"/>
        </w:rPr>
        <w:t>European</w:t>
      </w:r>
      <w:proofErr w:type="spellEnd"/>
      <w:r w:rsidRPr="00201A99">
        <w:rPr>
          <w:rFonts w:ascii="Century Gothic" w:hAnsi="Century Gothic"/>
        </w:rPr>
        <w:t xml:space="preserve"> Professional Club Rugby), qui organise le championnat d’Europe des clubs. La collection </w:t>
      </w:r>
      <w:r w:rsidR="000B3AC9">
        <w:rPr>
          <w:rFonts w:ascii="Century Gothic" w:hAnsi="Century Gothic"/>
        </w:rPr>
        <w:t>Tissot</w:t>
      </w:r>
      <w:r w:rsidRPr="00201A99">
        <w:rPr>
          <w:rFonts w:ascii="Century Gothic" w:hAnsi="Century Gothic"/>
        </w:rPr>
        <w:t xml:space="preserve"> </w:t>
      </w:r>
      <w:proofErr w:type="spellStart"/>
      <w:r w:rsidRPr="00201A99">
        <w:rPr>
          <w:rFonts w:ascii="Century Gothic" w:hAnsi="Century Gothic"/>
        </w:rPr>
        <w:t>SuperSport</w:t>
      </w:r>
      <w:proofErr w:type="spellEnd"/>
      <w:r w:rsidRPr="00201A99">
        <w:rPr>
          <w:rFonts w:ascii="Century Gothic" w:hAnsi="Century Gothic"/>
        </w:rPr>
        <w:t xml:space="preserve"> </w:t>
      </w:r>
      <w:r w:rsidR="000B3AC9">
        <w:rPr>
          <w:rFonts w:ascii="Century Gothic" w:hAnsi="Century Gothic"/>
        </w:rPr>
        <w:t xml:space="preserve">Chrono </w:t>
      </w:r>
      <w:r w:rsidRPr="00201A99">
        <w:rPr>
          <w:rFonts w:ascii="Century Gothic" w:hAnsi="Century Gothic"/>
        </w:rPr>
        <w:t xml:space="preserve">est donc </w:t>
      </w:r>
      <w:r w:rsidR="000B3AC9">
        <w:rPr>
          <w:rFonts w:ascii="Century Gothic" w:hAnsi="Century Gothic"/>
        </w:rPr>
        <w:t>développée</w:t>
      </w:r>
      <w:r w:rsidRPr="00201A99">
        <w:rPr>
          <w:rFonts w:ascii="Century Gothic" w:hAnsi="Century Gothic"/>
        </w:rPr>
        <w:t xml:space="preserve"> </w:t>
      </w:r>
      <w:r w:rsidR="000B3AC9" w:rsidRPr="000B3AC9">
        <w:rPr>
          <w:rFonts w:ascii="Century Gothic" w:hAnsi="Century Gothic"/>
        </w:rPr>
        <w:t>pour le jeu et capable de faire face à la pression écr</w:t>
      </w:r>
      <w:r w:rsidR="00BE7D51">
        <w:rPr>
          <w:rFonts w:ascii="Century Gothic" w:hAnsi="Century Gothic"/>
        </w:rPr>
        <w:t>asante d'une mêlée</w:t>
      </w:r>
      <w:r w:rsidR="000B3AC9" w:rsidRPr="000B3AC9">
        <w:rPr>
          <w:rFonts w:ascii="Century Gothic" w:hAnsi="Century Gothic"/>
        </w:rPr>
        <w:t>.</w:t>
      </w:r>
    </w:p>
    <w:p w:rsidR="000B3AC9" w:rsidRPr="00CF3BB0" w:rsidRDefault="000B3AC9" w:rsidP="00CF3BB0">
      <w:pPr>
        <w:jc w:val="both"/>
        <w:rPr>
          <w:rFonts w:ascii="Century Gothic" w:hAnsi="Century Gothic"/>
        </w:rPr>
      </w:pPr>
    </w:p>
    <w:p w:rsidR="00E772E3" w:rsidRPr="00CF3BB0" w:rsidRDefault="00E772E3" w:rsidP="00CF3BB0">
      <w:pPr>
        <w:jc w:val="both"/>
        <w:rPr>
          <w:rFonts w:ascii="Century Gothic" w:hAnsi="Century Gothic"/>
        </w:rPr>
      </w:pPr>
      <w:r w:rsidRPr="00CF3BB0">
        <w:rPr>
          <w:rFonts w:ascii="Century Gothic" w:hAnsi="Century Gothic"/>
        </w:rPr>
        <w:t xml:space="preserve">En hommage </w:t>
      </w:r>
      <w:r w:rsidR="00C81EEB">
        <w:rPr>
          <w:rFonts w:ascii="Century Gothic" w:hAnsi="Century Gothic"/>
        </w:rPr>
        <w:t>aux valeurs</w:t>
      </w:r>
      <w:r w:rsidRPr="00CF3BB0">
        <w:rPr>
          <w:rFonts w:ascii="Century Gothic" w:hAnsi="Century Gothic"/>
        </w:rPr>
        <w:t xml:space="preserve"> universelle</w:t>
      </w:r>
      <w:r w:rsidR="00C81EEB">
        <w:rPr>
          <w:rFonts w:ascii="Century Gothic" w:hAnsi="Century Gothic"/>
        </w:rPr>
        <w:t>s</w:t>
      </w:r>
      <w:r w:rsidRPr="00CF3BB0">
        <w:rPr>
          <w:rFonts w:ascii="Century Gothic" w:hAnsi="Century Gothic"/>
        </w:rPr>
        <w:t xml:space="preserve"> du rugby, joué sur tous les continents, par des hommes et des femmes de toutes origines et nationalités, la collection </w:t>
      </w:r>
      <w:proofErr w:type="spellStart"/>
      <w:r w:rsidRPr="00CF3BB0">
        <w:rPr>
          <w:rFonts w:ascii="Century Gothic" w:hAnsi="Century Gothic"/>
        </w:rPr>
        <w:t>SuperSport</w:t>
      </w:r>
      <w:proofErr w:type="spellEnd"/>
      <w:r w:rsidR="000B3AC9">
        <w:rPr>
          <w:rFonts w:ascii="Century Gothic" w:hAnsi="Century Gothic"/>
        </w:rPr>
        <w:t xml:space="preserve"> Chrono</w:t>
      </w:r>
      <w:r w:rsidRPr="00CF3BB0">
        <w:rPr>
          <w:rFonts w:ascii="Century Gothic" w:hAnsi="Century Gothic"/>
        </w:rPr>
        <w:t xml:space="preserve"> est déclinée dans une vaste gamme de teintes. Cette vaste proposition touchera tous les poignets, tous les goûts, pour un budget conforme à la volonté de Tissot de toujours offrir une horlogerie de haute qualité à des tarifs avantageux. </w:t>
      </w:r>
    </w:p>
    <w:p w:rsidR="00E772E3" w:rsidRDefault="00E772E3" w:rsidP="00CF3BB0">
      <w:pPr>
        <w:jc w:val="both"/>
        <w:rPr>
          <w:rFonts w:ascii="Century Gothic" w:hAnsi="Century Gothic"/>
        </w:rPr>
      </w:pPr>
    </w:p>
    <w:p w:rsidR="00CF3BB0" w:rsidRPr="00C949AF" w:rsidRDefault="00CF3BB0" w:rsidP="00CF3BB0">
      <w:pPr>
        <w:jc w:val="both"/>
        <w:rPr>
          <w:rFonts w:ascii="Century Gothic" w:hAnsi="Century Gothic" w:cs="Helvetica"/>
          <w:color w:val="0000FF"/>
          <w:sz w:val="16"/>
          <w:szCs w:val="16"/>
          <w:u w:val="single"/>
          <w:shd w:val="clear" w:color="auto" w:fill="FFFFFF"/>
        </w:rPr>
      </w:pPr>
      <w:r w:rsidRPr="00C949AF">
        <w:rPr>
          <w:rFonts w:ascii="Century Gothic" w:hAnsi="Century Gothic" w:cs="Helvetica"/>
          <w:color w:val="0000FF"/>
          <w:sz w:val="16"/>
          <w:szCs w:val="16"/>
          <w:u w:val="single"/>
          <w:shd w:val="clear" w:color="auto" w:fill="FFFFFF"/>
        </w:rPr>
        <w:t xml:space="preserve">La croix du drapeau helvétique, fièrement reprise dans le logo, symbolise la qualité et la fiabilité suisse dont Tissot fait preuve depuis 1853. Avec plus de 4 millions de montres exportées dans les pays du monde entier chaque année, Tissot se positionne comme le leader du secteur de l’horlogerie suisse traditionnelle. Fidèle à sa devise, « Innovateurs par tradition », Tissot jouit d’une renommée internationale pour l’excellente qualité de chacun des composants que renferment ses produits. </w:t>
      </w:r>
    </w:p>
    <w:p w:rsidR="00CF3BB0" w:rsidRPr="00C949AF" w:rsidRDefault="00CF3BB0" w:rsidP="00CF3BB0">
      <w:pPr>
        <w:jc w:val="both"/>
        <w:rPr>
          <w:rFonts w:ascii="Century Gothic" w:hAnsi="Century Gothic" w:cs="Helvetica"/>
          <w:color w:val="0000FF"/>
          <w:sz w:val="16"/>
          <w:szCs w:val="16"/>
          <w:u w:val="single"/>
          <w:shd w:val="clear" w:color="auto" w:fill="FFFFFF"/>
        </w:rPr>
      </w:pPr>
      <w:r w:rsidRPr="00C949AF">
        <w:rPr>
          <w:rFonts w:ascii="Century Gothic" w:hAnsi="Century Gothic" w:cs="Helvetica"/>
          <w:color w:val="0000FF"/>
          <w:sz w:val="16"/>
          <w:szCs w:val="16"/>
          <w:u w:val="single"/>
          <w:shd w:val="clear" w:color="auto" w:fill="FFFFFF"/>
        </w:rPr>
        <w:t xml:space="preserve">Tissot est le Chronométreur Officiel et Partenaire de nombreux événements mondiaux : en basketball avec la NBA et la FIBA ; en cyclisme avec le Tour de France et les Championnats du monde UCI ; en sports mécaniques avec le </w:t>
      </w:r>
      <w:proofErr w:type="spellStart"/>
      <w:r w:rsidRPr="00C949AF">
        <w:rPr>
          <w:rFonts w:ascii="Century Gothic" w:hAnsi="Century Gothic" w:cs="Helvetica"/>
          <w:color w:val="0000FF"/>
          <w:sz w:val="16"/>
          <w:szCs w:val="16"/>
          <w:u w:val="single"/>
          <w:shd w:val="clear" w:color="auto" w:fill="FFFFFF"/>
        </w:rPr>
        <w:t>MotoGP</w:t>
      </w:r>
      <w:proofErr w:type="spellEnd"/>
      <w:r w:rsidRPr="00C949AF">
        <w:rPr>
          <w:rFonts w:ascii="Century Gothic" w:hAnsi="Century Gothic" w:cs="Helvetica"/>
          <w:color w:val="0000FF"/>
          <w:sz w:val="16"/>
          <w:szCs w:val="16"/>
          <w:u w:val="single"/>
          <w:shd w:val="clear" w:color="auto" w:fill="FFFFFF"/>
        </w:rPr>
        <w:t xml:space="preserve">™ et les Championnats du monde de Superbike FIM ; et beaucoup d’autres encore en hockey sur glace, escrime et rugby. </w:t>
      </w:r>
    </w:p>
    <w:p w:rsidR="00CF3BB0" w:rsidRPr="00C949AF" w:rsidRDefault="00CF3BB0" w:rsidP="00CF3BB0">
      <w:pPr>
        <w:jc w:val="both"/>
        <w:rPr>
          <w:rFonts w:ascii="Century Gothic" w:hAnsi="Century Gothic" w:cs="Helvetica"/>
          <w:color w:val="0000FF"/>
          <w:sz w:val="16"/>
          <w:szCs w:val="16"/>
          <w:u w:val="single"/>
          <w:shd w:val="clear" w:color="auto" w:fill="FFFFFF"/>
          <w:lang w:val="de-DE"/>
        </w:rPr>
      </w:pPr>
      <w:r w:rsidRPr="00C949AF">
        <w:rPr>
          <w:rFonts w:ascii="Century Gothic" w:hAnsi="Century Gothic" w:cs="Helvetica"/>
          <w:color w:val="0000FF"/>
          <w:sz w:val="16"/>
          <w:szCs w:val="16"/>
          <w:u w:val="single"/>
          <w:shd w:val="clear" w:color="auto" w:fill="FFFFFF"/>
        </w:rPr>
        <w:t>Les produits phares de la marque sont les suivants : Tissot T-</w:t>
      </w:r>
      <w:proofErr w:type="spellStart"/>
      <w:r w:rsidRPr="00C949AF">
        <w:rPr>
          <w:rFonts w:ascii="Century Gothic" w:hAnsi="Century Gothic" w:cs="Helvetica"/>
          <w:color w:val="0000FF"/>
          <w:sz w:val="16"/>
          <w:szCs w:val="16"/>
          <w:u w:val="single"/>
          <w:shd w:val="clear" w:color="auto" w:fill="FFFFFF"/>
        </w:rPr>
        <w:t>Touch</w:t>
      </w:r>
      <w:proofErr w:type="spellEnd"/>
      <w:r w:rsidRPr="00C949AF">
        <w:rPr>
          <w:rFonts w:ascii="Century Gothic" w:hAnsi="Century Gothic" w:cs="Helvetica"/>
          <w:color w:val="0000FF"/>
          <w:sz w:val="16"/>
          <w:szCs w:val="16"/>
          <w:u w:val="single"/>
          <w:shd w:val="clear" w:color="auto" w:fill="FFFFFF"/>
        </w:rPr>
        <w:t xml:space="preserve"> (la première montre tactile créée en 1999). Tissot Le Locle, une montre automatique classique et intemporelle, avec une réserve de marche de 80 heures. </w:t>
      </w:r>
      <w:r w:rsidRPr="00C949AF">
        <w:rPr>
          <w:rFonts w:ascii="Century Gothic" w:hAnsi="Century Gothic" w:cs="Helvetica"/>
          <w:color w:val="0000FF"/>
          <w:sz w:val="16"/>
          <w:szCs w:val="16"/>
          <w:u w:val="single"/>
          <w:shd w:val="clear" w:color="auto" w:fill="FFFFFF"/>
          <w:lang w:val="de-DE"/>
        </w:rPr>
        <w:t>Tissot T-</w:t>
      </w:r>
      <w:proofErr w:type="spellStart"/>
      <w:r w:rsidRPr="00C949AF">
        <w:rPr>
          <w:rFonts w:ascii="Century Gothic" w:hAnsi="Century Gothic" w:cs="Helvetica"/>
          <w:color w:val="0000FF"/>
          <w:sz w:val="16"/>
          <w:szCs w:val="16"/>
          <w:u w:val="single"/>
          <w:shd w:val="clear" w:color="auto" w:fill="FFFFFF"/>
          <w:lang w:val="de-DE"/>
        </w:rPr>
        <w:t>Race</w:t>
      </w:r>
      <w:proofErr w:type="spellEnd"/>
      <w:r w:rsidRPr="00C949AF">
        <w:rPr>
          <w:rFonts w:ascii="Century Gothic" w:hAnsi="Century Gothic" w:cs="Helvetica"/>
          <w:color w:val="0000FF"/>
          <w:sz w:val="16"/>
          <w:szCs w:val="16"/>
          <w:u w:val="single"/>
          <w:shd w:val="clear" w:color="auto" w:fill="FFFFFF"/>
          <w:lang w:val="de-DE"/>
        </w:rPr>
        <w:t xml:space="preserve">, « le design </w:t>
      </w:r>
      <w:proofErr w:type="spellStart"/>
      <w:r w:rsidRPr="00C949AF">
        <w:rPr>
          <w:rFonts w:ascii="Century Gothic" w:hAnsi="Century Gothic" w:cs="Helvetica"/>
          <w:color w:val="0000FF"/>
          <w:sz w:val="16"/>
          <w:szCs w:val="16"/>
          <w:u w:val="single"/>
          <w:shd w:val="clear" w:color="auto" w:fill="FFFFFF"/>
          <w:lang w:val="de-DE"/>
        </w:rPr>
        <w:t>sportif</w:t>
      </w:r>
      <w:proofErr w:type="spellEnd"/>
      <w:r w:rsidRPr="00C949AF">
        <w:rPr>
          <w:rFonts w:ascii="Century Gothic" w:hAnsi="Century Gothic" w:cs="Helvetica"/>
          <w:color w:val="0000FF"/>
          <w:sz w:val="16"/>
          <w:szCs w:val="16"/>
          <w:u w:val="single"/>
          <w:shd w:val="clear" w:color="auto" w:fill="FFFFFF"/>
          <w:lang w:val="de-DE"/>
        </w:rPr>
        <w:t xml:space="preserve"> ». </w:t>
      </w:r>
    </w:p>
    <w:p w:rsidR="00CF3BB0" w:rsidRP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CF3BB0" w:rsidRDefault="00CF3BB0" w:rsidP="00CF3BB0">
      <w:pPr>
        <w:jc w:val="both"/>
        <w:rPr>
          <w:rFonts w:ascii="Century Gothic" w:hAnsi="Century Gothic"/>
        </w:rPr>
      </w:pPr>
    </w:p>
    <w:p w:rsidR="00BE7D51" w:rsidRDefault="00BE7D51" w:rsidP="00CF3BB0">
      <w:pPr>
        <w:jc w:val="both"/>
        <w:rPr>
          <w:rFonts w:ascii="Century Gothic" w:hAnsi="Century Gothic"/>
        </w:rPr>
      </w:pPr>
    </w:p>
    <w:p w:rsidR="00BE7D51" w:rsidRDefault="00BE7D51" w:rsidP="00CF3BB0">
      <w:pPr>
        <w:jc w:val="both"/>
        <w:rPr>
          <w:rFonts w:ascii="Century Gothic" w:hAnsi="Century Gothic"/>
        </w:rPr>
      </w:pPr>
    </w:p>
    <w:p w:rsidR="00CF3BB0" w:rsidRDefault="00CF3BB0" w:rsidP="00CF3BB0">
      <w:pPr>
        <w:jc w:val="both"/>
        <w:rPr>
          <w:rFonts w:ascii="Century Gothic" w:hAnsi="Century Gothic"/>
        </w:rPr>
      </w:pPr>
    </w:p>
    <w:p w:rsidR="005E6B56" w:rsidRDefault="005E6B56" w:rsidP="00CF3BB0">
      <w:pPr>
        <w:jc w:val="both"/>
        <w:rPr>
          <w:rFonts w:ascii="Century Gothic" w:hAnsi="Century Gothic"/>
        </w:rPr>
      </w:pPr>
    </w:p>
    <w:p w:rsidR="00E772E3" w:rsidRPr="00CF3BB0" w:rsidRDefault="00E772E3" w:rsidP="00CF3BB0">
      <w:pPr>
        <w:jc w:val="both"/>
        <w:rPr>
          <w:rFonts w:ascii="Century Gothic" w:hAnsi="Century Gothic"/>
          <w:b/>
          <w:bCs/>
        </w:rPr>
      </w:pPr>
      <w:r w:rsidRPr="00CF3BB0">
        <w:rPr>
          <w:rFonts w:ascii="Century Gothic" w:hAnsi="Century Gothic"/>
          <w:b/>
          <w:bCs/>
        </w:rPr>
        <w:lastRenderedPageBreak/>
        <w:t xml:space="preserve">Caractéristiques Chrono </w:t>
      </w:r>
      <w:proofErr w:type="spellStart"/>
      <w:r w:rsidRPr="00CF3BB0">
        <w:rPr>
          <w:rFonts w:ascii="Century Gothic" w:hAnsi="Century Gothic"/>
          <w:b/>
          <w:bCs/>
        </w:rPr>
        <w:t>SuperSport</w:t>
      </w:r>
      <w:proofErr w:type="spellEnd"/>
    </w:p>
    <w:p w:rsidR="00E772E3" w:rsidRPr="00CF3BB0" w:rsidRDefault="00E772E3" w:rsidP="00CF3BB0">
      <w:pPr>
        <w:jc w:val="both"/>
        <w:rPr>
          <w:rFonts w:ascii="Century Gothic" w:hAnsi="Century Gothic"/>
          <w:b/>
          <w:bCs/>
        </w:rPr>
      </w:pPr>
    </w:p>
    <w:p w:rsidR="00E772E3" w:rsidRPr="00CF3BB0" w:rsidRDefault="00E772E3" w:rsidP="00CF3BB0">
      <w:pPr>
        <w:numPr>
          <w:ilvl w:val="0"/>
          <w:numId w:val="1"/>
        </w:numPr>
        <w:rPr>
          <w:rFonts w:ascii="Century Gothic" w:hAnsi="Century Gothic"/>
        </w:rPr>
      </w:pPr>
      <w:r w:rsidRPr="00CF3BB0">
        <w:rPr>
          <w:rFonts w:ascii="Century Gothic" w:hAnsi="Century Gothic"/>
        </w:rPr>
        <w:t>Boîtier en acier satiné, ou acier PVD noir, ou acier PVD or rose</w:t>
      </w:r>
    </w:p>
    <w:p w:rsidR="00E772E3" w:rsidRPr="00CF3BB0" w:rsidRDefault="00E772E3" w:rsidP="00CF3BB0">
      <w:pPr>
        <w:numPr>
          <w:ilvl w:val="0"/>
          <w:numId w:val="1"/>
        </w:numPr>
        <w:rPr>
          <w:rFonts w:ascii="Century Gothic" w:hAnsi="Century Gothic"/>
        </w:rPr>
      </w:pPr>
      <w:r w:rsidRPr="00CF3BB0">
        <w:rPr>
          <w:rFonts w:ascii="Century Gothic" w:hAnsi="Century Gothic"/>
        </w:rPr>
        <w:t xml:space="preserve">Lunette fixe avec échelle </w:t>
      </w:r>
      <w:proofErr w:type="spellStart"/>
      <w:r w:rsidRPr="00CF3BB0">
        <w:rPr>
          <w:rFonts w:ascii="Century Gothic" w:hAnsi="Century Gothic"/>
        </w:rPr>
        <w:t>tachymétrique</w:t>
      </w:r>
      <w:proofErr w:type="spellEnd"/>
    </w:p>
    <w:p w:rsidR="00E772E3" w:rsidRPr="00CF3BB0" w:rsidRDefault="00E772E3" w:rsidP="00CF3BB0">
      <w:pPr>
        <w:numPr>
          <w:ilvl w:val="0"/>
          <w:numId w:val="1"/>
        </w:numPr>
        <w:rPr>
          <w:rFonts w:ascii="Century Gothic" w:hAnsi="Century Gothic"/>
        </w:rPr>
      </w:pPr>
      <w:r w:rsidRPr="00CF3BB0">
        <w:rPr>
          <w:rFonts w:ascii="Century Gothic" w:hAnsi="Century Gothic"/>
        </w:rPr>
        <w:t xml:space="preserve">Couronne avec </w:t>
      </w:r>
      <w:r w:rsidR="00BE7D51">
        <w:rPr>
          <w:rFonts w:ascii="Century Gothic" w:hAnsi="Century Gothic"/>
        </w:rPr>
        <w:t>protège couronne</w:t>
      </w:r>
      <w:r w:rsidRPr="00CF3BB0">
        <w:rPr>
          <w:rFonts w:ascii="Century Gothic" w:hAnsi="Century Gothic"/>
        </w:rPr>
        <w:t xml:space="preserve"> et poussoirs de chronographe coordonnés à la lunette</w:t>
      </w:r>
    </w:p>
    <w:p w:rsidR="00E772E3" w:rsidRPr="00CF3BB0" w:rsidRDefault="00E772E3" w:rsidP="00CF3BB0">
      <w:pPr>
        <w:numPr>
          <w:ilvl w:val="0"/>
          <w:numId w:val="1"/>
        </w:numPr>
        <w:rPr>
          <w:rFonts w:ascii="Century Gothic" w:hAnsi="Century Gothic"/>
        </w:rPr>
      </w:pPr>
      <w:r w:rsidRPr="00CF3BB0">
        <w:rPr>
          <w:rFonts w:ascii="Century Gothic" w:hAnsi="Century Gothic"/>
        </w:rPr>
        <w:t>45,5 mm de diamètre</w:t>
      </w:r>
    </w:p>
    <w:p w:rsidR="00E772E3" w:rsidRPr="00CF3BB0" w:rsidRDefault="00E772E3" w:rsidP="00CF3BB0">
      <w:pPr>
        <w:numPr>
          <w:ilvl w:val="0"/>
          <w:numId w:val="1"/>
        </w:numPr>
        <w:rPr>
          <w:rFonts w:ascii="Century Gothic" w:hAnsi="Century Gothic"/>
        </w:rPr>
      </w:pPr>
      <w:r w:rsidRPr="00CF3BB0">
        <w:rPr>
          <w:rFonts w:ascii="Century Gothic" w:hAnsi="Century Gothic"/>
        </w:rPr>
        <w:t>Verre en cristal de saphir transparent</w:t>
      </w:r>
    </w:p>
    <w:p w:rsidR="00E772E3" w:rsidRPr="00CF3BB0" w:rsidRDefault="00E772E3" w:rsidP="00CF3BB0">
      <w:pPr>
        <w:numPr>
          <w:ilvl w:val="0"/>
          <w:numId w:val="1"/>
        </w:numPr>
        <w:rPr>
          <w:rFonts w:ascii="Century Gothic" w:hAnsi="Century Gothic"/>
        </w:rPr>
      </w:pPr>
      <w:r w:rsidRPr="00CF3BB0">
        <w:rPr>
          <w:rFonts w:ascii="Century Gothic" w:hAnsi="Century Gothic"/>
        </w:rPr>
        <w:t>Fond plein</w:t>
      </w:r>
    </w:p>
    <w:p w:rsidR="00E772E3" w:rsidRPr="00CF3BB0" w:rsidRDefault="00E772E3" w:rsidP="00CF3BB0">
      <w:pPr>
        <w:numPr>
          <w:ilvl w:val="0"/>
          <w:numId w:val="1"/>
        </w:numPr>
        <w:rPr>
          <w:rFonts w:ascii="Century Gothic" w:hAnsi="Century Gothic"/>
        </w:rPr>
      </w:pPr>
      <w:r w:rsidRPr="00CF3BB0">
        <w:rPr>
          <w:rFonts w:ascii="Century Gothic" w:hAnsi="Century Gothic"/>
        </w:rPr>
        <w:t>Etanche 100 m (10 ATM)</w:t>
      </w:r>
    </w:p>
    <w:p w:rsidR="00E772E3" w:rsidRPr="00CF3BB0" w:rsidRDefault="00E772E3" w:rsidP="00CF3BB0">
      <w:pPr>
        <w:rPr>
          <w:rFonts w:ascii="Century Gothic" w:hAnsi="Century Gothic"/>
        </w:rPr>
      </w:pPr>
    </w:p>
    <w:p w:rsidR="00E772E3" w:rsidRPr="00CF3BB0" w:rsidRDefault="00E772E3" w:rsidP="00CF3BB0">
      <w:pPr>
        <w:rPr>
          <w:rFonts w:ascii="Century Gothic" w:hAnsi="Century Gothic"/>
        </w:rPr>
      </w:pPr>
    </w:p>
    <w:p w:rsidR="00E772E3" w:rsidRPr="00CF3BB0" w:rsidRDefault="00E772E3" w:rsidP="00CF3BB0">
      <w:pPr>
        <w:numPr>
          <w:ilvl w:val="0"/>
          <w:numId w:val="1"/>
        </w:numPr>
        <w:rPr>
          <w:rFonts w:ascii="Century Gothic" w:hAnsi="Century Gothic"/>
        </w:rPr>
      </w:pPr>
      <w:r w:rsidRPr="00CF3BB0">
        <w:rPr>
          <w:rFonts w:ascii="Century Gothic" w:hAnsi="Century Gothic"/>
        </w:rPr>
        <w:t xml:space="preserve">Mouvement à quartz </w:t>
      </w:r>
    </w:p>
    <w:p w:rsidR="00E772E3" w:rsidRPr="00CF3BB0" w:rsidRDefault="00E772E3" w:rsidP="00CF3BB0">
      <w:pPr>
        <w:numPr>
          <w:ilvl w:val="0"/>
          <w:numId w:val="1"/>
        </w:numPr>
        <w:rPr>
          <w:rFonts w:ascii="Century Gothic" w:hAnsi="Century Gothic"/>
        </w:rPr>
      </w:pPr>
      <w:r w:rsidRPr="00CF3BB0">
        <w:rPr>
          <w:rFonts w:ascii="Century Gothic" w:hAnsi="Century Gothic"/>
        </w:rPr>
        <w:t xml:space="preserve">Calibre ETA </w:t>
      </w:r>
      <w:r w:rsidR="00BE7D51">
        <w:rPr>
          <w:rFonts w:ascii="Century Gothic" w:hAnsi="Century Gothic"/>
        </w:rPr>
        <w:t>10.212</w:t>
      </w:r>
    </w:p>
    <w:p w:rsidR="00E772E3" w:rsidRPr="00CF3BB0" w:rsidRDefault="00E772E3" w:rsidP="00CF3BB0">
      <w:pPr>
        <w:numPr>
          <w:ilvl w:val="0"/>
          <w:numId w:val="1"/>
        </w:numPr>
        <w:rPr>
          <w:rFonts w:ascii="Century Gothic" w:hAnsi="Century Gothic"/>
        </w:rPr>
      </w:pPr>
      <w:r w:rsidRPr="00CF3BB0">
        <w:rPr>
          <w:rFonts w:ascii="Century Gothic" w:hAnsi="Century Gothic"/>
        </w:rPr>
        <w:t>Heures, minutes, petite seconde, chronographe au 10e de seconde à deux compteurs, date</w:t>
      </w:r>
    </w:p>
    <w:p w:rsidR="00E772E3" w:rsidRPr="00CF3BB0" w:rsidRDefault="00E772E3" w:rsidP="00CF3BB0">
      <w:pPr>
        <w:rPr>
          <w:rFonts w:ascii="Century Gothic" w:hAnsi="Century Gothic"/>
        </w:rPr>
      </w:pPr>
    </w:p>
    <w:p w:rsidR="00E772E3" w:rsidRPr="00CF3BB0" w:rsidRDefault="00E772E3" w:rsidP="00CF3BB0">
      <w:pPr>
        <w:rPr>
          <w:rFonts w:ascii="Century Gothic" w:hAnsi="Century Gothic"/>
        </w:rPr>
      </w:pPr>
    </w:p>
    <w:p w:rsidR="00E772E3" w:rsidRPr="00CF3BB0" w:rsidRDefault="00BE7D51" w:rsidP="00CF3BB0">
      <w:pPr>
        <w:numPr>
          <w:ilvl w:val="0"/>
          <w:numId w:val="1"/>
        </w:numPr>
        <w:rPr>
          <w:rFonts w:ascii="Century Gothic" w:hAnsi="Century Gothic"/>
        </w:rPr>
      </w:pPr>
      <w:r>
        <w:rPr>
          <w:rFonts w:ascii="Century Gothic" w:hAnsi="Century Gothic"/>
        </w:rPr>
        <w:t xml:space="preserve">Cadran </w:t>
      </w:r>
      <w:r w:rsidR="00E772E3" w:rsidRPr="00CF3BB0">
        <w:rPr>
          <w:rFonts w:ascii="Century Gothic" w:hAnsi="Century Gothic"/>
        </w:rPr>
        <w:t>mat avec marquages coordonnés à la couleur de boîte et de lunette</w:t>
      </w:r>
    </w:p>
    <w:p w:rsidR="00E772E3" w:rsidRPr="00CF3BB0" w:rsidRDefault="00E772E3" w:rsidP="00CF3BB0">
      <w:pPr>
        <w:numPr>
          <w:ilvl w:val="0"/>
          <w:numId w:val="1"/>
        </w:numPr>
        <w:rPr>
          <w:rFonts w:ascii="Century Gothic" w:hAnsi="Century Gothic"/>
        </w:rPr>
      </w:pPr>
      <w:r w:rsidRPr="00CF3BB0">
        <w:rPr>
          <w:rFonts w:ascii="Century Gothic" w:hAnsi="Century Gothic"/>
        </w:rPr>
        <w:t xml:space="preserve">Index rectangulaires en applique garnis de </w:t>
      </w:r>
      <w:proofErr w:type="spellStart"/>
      <w:r w:rsidRPr="00CF3BB0">
        <w:rPr>
          <w:rFonts w:ascii="Century Gothic" w:hAnsi="Century Gothic"/>
        </w:rPr>
        <w:t>SuperLuminova</w:t>
      </w:r>
      <w:proofErr w:type="spellEnd"/>
    </w:p>
    <w:p w:rsidR="00E772E3" w:rsidRPr="00CF3BB0" w:rsidRDefault="00E772E3" w:rsidP="00CF3BB0">
      <w:pPr>
        <w:numPr>
          <w:ilvl w:val="0"/>
          <w:numId w:val="1"/>
        </w:numPr>
        <w:rPr>
          <w:rFonts w:ascii="Century Gothic" w:hAnsi="Century Gothic"/>
        </w:rPr>
      </w:pPr>
      <w:r w:rsidRPr="00CF3BB0">
        <w:rPr>
          <w:rFonts w:ascii="Century Gothic" w:hAnsi="Century Gothic"/>
        </w:rPr>
        <w:t>Aiguilles glaive semi-</w:t>
      </w:r>
      <w:proofErr w:type="spellStart"/>
      <w:r w:rsidRPr="00CF3BB0">
        <w:rPr>
          <w:rFonts w:ascii="Century Gothic" w:hAnsi="Century Gothic"/>
        </w:rPr>
        <w:t>squelettées</w:t>
      </w:r>
      <w:proofErr w:type="spellEnd"/>
      <w:r w:rsidRPr="00CF3BB0">
        <w:rPr>
          <w:rFonts w:ascii="Century Gothic" w:hAnsi="Century Gothic"/>
        </w:rPr>
        <w:t xml:space="preserve"> et garnies de </w:t>
      </w:r>
      <w:proofErr w:type="spellStart"/>
      <w:r w:rsidRPr="00CF3BB0">
        <w:rPr>
          <w:rFonts w:ascii="Century Gothic" w:hAnsi="Century Gothic"/>
        </w:rPr>
        <w:t>SuperLuminova</w:t>
      </w:r>
      <w:proofErr w:type="spellEnd"/>
    </w:p>
    <w:p w:rsidR="00E772E3" w:rsidRPr="00CF3BB0" w:rsidRDefault="00E772E3" w:rsidP="00CF3BB0">
      <w:pPr>
        <w:rPr>
          <w:rFonts w:ascii="Century Gothic" w:hAnsi="Century Gothic"/>
        </w:rPr>
      </w:pPr>
    </w:p>
    <w:p w:rsidR="00E772E3" w:rsidRPr="00CF3BB0" w:rsidRDefault="00E772E3" w:rsidP="00CF3BB0">
      <w:pPr>
        <w:rPr>
          <w:rFonts w:ascii="Century Gothic" w:hAnsi="Century Gothic"/>
        </w:rPr>
      </w:pPr>
    </w:p>
    <w:p w:rsidR="00E772E3" w:rsidRPr="00CF3BB0" w:rsidRDefault="00E772E3" w:rsidP="00CF3BB0">
      <w:pPr>
        <w:numPr>
          <w:ilvl w:val="0"/>
          <w:numId w:val="1"/>
        </w:numPr>
        <w:rPr>
          <w:rFonts w:ascii="Century Gothic" w:hAnsi="Century Gothic"/>
        </w:rPr>
      </w:pPr>
      <w:r w:rsidRPr="00CF3BB0">
        <w:rPr>
          <w:rFonts w:ascii="Century Gothic" w:hAnsi="Century Gothic"/>
        </w:rPr>
        <w:t>Bracelet en cuir marron ou noir avec surpiqûre apparente</w:t>
      </w:r>
    </w:p>
    <w:p w:rsidR="00E772E3" w:rsidRPr="00CF3BB0" w:rsidRDefault="00E772E3" w:rsidP="00CF3BB0">
      <w:pPr>
        <w:jc w:val="both"/>
        <w:rPr>
          <w:rFonts w:ascii="Century Gothic" w:hAnsi="Century Gothic"/>
        </w:rPr>
      </w:pPr>
      <w:bookmarkStart w:id="0" w:name="_GoBack"/>
      <w:bookmarkEnd w:id="0"/>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p>
    <w:p w:rsidR="00E772E3" w:rsidRPr="00CF3BB0" w:rsidRDefault="00E772E3" w:rsidP="00CF3BB0">
      <w:pPr>
        <w:jc w:val="both"/>
        <w:rPr>
          <w:rFonts w:ascii="Century Gothic" w:hAnsi="Century Gothic"/>
        </w:rPr>
      </w:pPr>
    </w:p>
    <w:sectPr w:rsidR="00E772E3" w:rsidRPr="00CF3BB0">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space"/>
      <w:lvlText w:val=""/>
      <w:lvlJc w:val="left"/>
      <w:pPr>
        <w:tabs>
          <w:tab w:val="num" w:pos="0"/>
        </w:tabs>
        <w:ind w:left="227" w:hanging="227"/>
      </w:pPr>
      <w:rPr>
        <w:rFonts w:ascii="Symbol" w:hAnsi="Symbol" w:cs="Symbol"/>
      </w:rPr>
    </w:lvl>
    <w:lvl w:ilvl="1">
      <w:start w:val="1"/>
      <w:numFmt w:val="bullet"/>
      <w:suff w:val="space"/>
      <w:lvlText w:val=""/>
      <w:lvlJc w:val="left"/>
      <w:pPr>
        <w:tabs>
          <w:tab w:val="num" w:pos="0"/>
        </w:tabs>
        <w:ind w:left="227" w:hanging="227"/>
      </w:pPr>
      <w:rPr>
        <w:rFonts w:ascii="Symbol" w:hAnsi="Symbol" w:cs="Symbol"/>
      </w:rPr>
    </w:lvl>
    <w:lvl w:ilvl="2">
      <w:start w:val="1"/>
      <w:numFmt w:val="bullet"/>
      <w:suff w:val="space"/>
      <w:lvlText w:val=""/>
      <w:lvlJc w:val="left"/>
      <w:pPr>
        <w:tabs>
          <w:tab w:val="num" w:pos="0"/>
        </w:tabs>
        <w:ind w:left="227" w:hanging="227"/>
      </w:pPr>
      <w:rPr>
        <w:rFonts w:ascii="Symbol" w:hAnsi="Symbol" w:cs="Symbol"/>
      </w:rPr>
    </w:lvl>
    <w:lvl w:ilvl="3">
      <w:start w:val="1"/>
      <w:numFmt w:val="bullet"/>
      <w:suff w:val="space"/>
      <w:lvlText w:val=""/>
      <w:lvlJc w:val="left"/>
      <w:pPr>
        <w:tabs>
          <w:tab w:val="num" w:pos="0"/>
        </w:tabs>
        <w:ind w:left="227" w:hanging="227"/>
      </w:pPr>
      <w:rPr>
        <w:rFonts w:ascii="Symbol" w:hAnsi="Symbol" w:cs="Symbol"/>
      </w:rPr>
    </w:lvl>
    <w:lvl w:ilvl="4">
      <w:start w:val="1"/>
      <w:numFmt w:val="bullet"/>
      <w:suff w:val="space"/>
      <w:lvlText w:val=""/>
      <w:lvlJc w:val="left"/>
      <w:pPr>
        <w:tabs>
          <w:tab w:val="num" w:pos="0"/>
        </w:tabs>
        <w:ind w:left="227" w:hanging="227"/>
      </w:pPr>
      <w:rPr>
        <w:rFonts w:ascii="Symbol" w:hAnsi="Symbol" w:cs="Symbol"/>
      </w:rPr>
    </w:lvl>
    <w:lvl w:ilvl="5">
      <w:start w:val="1"/>
      <w:numFmt w:val="bullet"/>
      <w:suff w:val="space"/>
      <w:lvlText w:val=""/>
      <w:lvlJc w:val="left"/>
      <w:pPr>
        <w:tabs>
          <w:tab w:val="num" w:pos="0"/>
        </w:tabs>
        <w:ind w:left="227" w:hanging="227"/>
      </w:pPr>
      <w:rPr>
        <w:rFonts w:ascii="Symbol" w:hAnsi="Symbol" w:cs="Symbol"/>
      </w:rPr>
    </w:lvl>
    <w:lvl w:ilvl="6">
      <w:start w:val="1"/>
      <w:numFmt w:val="bullet"/>
      <w:suff w:val="space"/>
      <w:lvlText w:val=""/>
      <w:lvlJc w:val="left"/>
      <w:pPr>
        <w:tabs>
          <w:tab w:val="num" w:pos="0"/>
        </w:tabs>
        <w:ind w:left="227" w:hanging="227"/>
      </w:pPr>
      <w:rPr>
        <w:rFonts w:ascii="Symbol" w:hAnsi="Symbol" w:cs="Symbol"/>
      </w:rPr>
    </w:lvl>
    <w:lvl w:ilvl="7">
      <w:start w:val="1"/>
      <w:numFmt w:val="bullet"/>
      <w:suff w:val="space"/>
      <w:lvlText w:val=""/>
      <w:lvlJc w:val="left"/>
      <w:pPr>
        <w:tabs>
          <w:tab w:val="num" w:pos="0"/>
        </w:tabs>
        <w:ind w:left="227" w:hanging="227"/>
      </w:pPr>
      <w:rPr>
        <w:rFonts w:ascii="Symbol" w:hAnsi="Symbol" w:cs="Symbol"/>
      </w:rPr>
    </w:lvl>
    <w:lvl w:ilvl="8">
      <w:start w:val="1"/>
      <w:numFmt w:val="bullet"/>
      <w:suff w:val="space"/>
      <w:lvlText w:val=""/>
      <w:lvlJc w:val="left"/>
      <w:pPr>
        <w:tabs>
          <w:tab w:val="num" w:pos="0"/>
        </w:tabs>
        <w:ind w:left="227" w:hanging="227"/>
      </w:pPr>
      <w:rPr>
        <w:rFonts w:ascii="Symbol" w:hAnsi="Symbol" w:cs="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B0"/>
    <w:rsid w:val="000B3AC9"/>
    <w:rsid w:val="00124A5F"/>
    <w:rsid w:val="00201A99"/>
    <w:rsid w:val="002A757B"/>
    <w:rsid w:val="005E6B56"/>
    <w:rsid w:val="008D13CA"/>
    <w:rsid w:val="009B76F8"/>
    <w:rsid w:val="00BC1FEC"/>
    <w:rsid w:val="00BE7D51"/>
    <w:rsid w:val="00C81EEB"/>
    <w:rsid w:val="00CF3BB0"/>
    <w:rsid w:val="00E772E3"/>
    <w:rsid w:val="00F24B0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A1EF63"/>
  <w15:chartTrackingRefBased/>
  <w15:docId w15:val="{075C5960-0D4E-4FE5-8CD3-D6900E10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character" w:styleId="Marquedecommentaire">
    <w:name w:val="annotation reference"/>
    <w:uiPriority w:val="99"/>
    <w:semiHidden/>
    <w:unhideWhenUsed/>
    <w:rsid w:val="00CF3BB0"/>
    <w:rPr>
      <w:sz w:val="16"/>
      <w:szCs w:val="16"/>
    </w:rPr>
  </w:style>
  <w:style w:type="paragraph" w:styleId="Commentaire">
    <w:name w:val="annotation text"/>
    <w:basedOn w:val="Normal"/>
    <w:link w:val="CommentaireCar"/>
    <w:uiPriority w:val="99"/>
    <w:semiHidden/>
    <w:unhideWhenUsed/>
    <w:rsid w:val="00CF3BB0"/>
    <w:rPr>
      <w:sz w:val="20"/>
      <w:szCs w:val="18"/>
    </w:rPr>
  </w:style>
  <w:style w:type="character" w:customStyle="1" w:styleId="CommentaireCar">
    <w:name w:val="Commentaire Car"/>
    <w:link w:val="Commentaire"/>
    <w:uiPriority w:val="99"/>
    <w:semiHidden/>
    <w:rsid w:val="00CF3BB0"/>
    <w:rPr>
      <w:rFonts w:eastAsia="SimSun" w:cs="Mangal"/>
      <w:kern w:val="1"/>
      <w:szCs w:val="18"/>
      <w:lang w:val="fr-FR" w:eastAsia="hi-IN" w:bidi="hi-IN"/>
    </w:rPr>
  </w:style>
  <w:style w:type="paragraph" w:styleId="Objetducommentaire">
    <w:name w:val="annotation subject"/>
    <w:basedOn w:val="Commentaire"/>
    <w:next w:val="Commentaire"/>
    <w:link w:val="ObjetducommentaireCar"/>
    <w:uiPriority w:val="99"/>
    <w:semiHidden/>
    <w:unhideWhenUsed/>
    <w:rsid w:val="00CF3BB0"/>
    <w:rPr>
      <w:b/>
      <w:bCs/>
    </w:rPr>
  </w:style>
  <w:style w:type="character" w:customStyle="1" w:styleId="ObjetducommentaireCar">
    <w:name w:val="Objet du commentaire Car"/>
    <w:link w:val="Objetducommentaire"/>
    <w:uiPriority w:val="99"/>
    <w:semiHidden/>
    <w:rsid w:val="00CF3BB0"/>
    <w:rPr>
      <w:rFonts w:eastAsia="SimSun" w:cs="Mangal"/>
      <w:b/>
      <w:bCs/>
      <w:kern w:val="1"/>
      <w:szCs w:val="18"/>
      <w:lang w:val="fr-FR" w:eastAsia="hi-IN" w:bidi="hi-IN"/>
    </w:rPr>
  </w:style>
  <w:style w:type="paragraph" w:styleId="Textedebulles">
    <w:name w:val="Balloon Text"/>
    <w:basedOn w:val="Normal"/>
    <w:link w:val="TextedebullesCar"/>
    <w:uiPriority w:val="99"/>
    <w:semiHidden/>
    <w:unhideWhenUsed/>
    <w:rsid w:val="00CF3BB0"/>
    <w:rPr>
      <w:rFonts w:ascii="Segoe UI" w:hAnsi="Segoe UI"/>
      <w:sz w:val="18"/>
      <w:szCs w:val="16"/>
    </w:rPr>
  </w:style>
  <w:style w:type="character" w:customStyle="1" w:styleId="TextedebullesCar">
    <w:name w:val="Texte de bulles Car"/>
    <w:link w:val="Textedebulles"/>
    <w:uiPriority w:val="99"/>
    <w:semiHidden/>
    <w:rsid w:val="00CF3BB0"/>
    <w:rPr>
      <w:rFonts w:ascii="Segoe UI" w:eastAsia="SimSun" w:hAnsi="Segoe UI" w:cs="Mangal"/>
      <w:kern w:val="1"/>
      <w:sz w:val="18"/>
      <w:szCs w:val="16"/>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4707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TCM</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Ch</dc:creator>
  <cp:keywords/>
  <cp:lastModifiedBy>Cools, Victoria</cp:lastModifiedBy>
  <cp:revision>3</cp:revision>
  <cp:lastPrinted>1899-12-31T23:00:00Z</cp:lastPrinted>
  <dcterms:created xsi:type="dcterms:W3CDTF">2020-01-10T16:16:00Z</dcterms:created>
  <dcterms:modified xsi:type="dcterms:W3CDTF">2020-01-13T12:29:00Z</dcterms:modified>
</cp:coreProperties>
</file>